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32" w:type="dxa"/>
        <w:tblCellSpacing w:w="15" w:type="dxa"/>
        <w:tblCellMar>
          <w:top w:w="15" w:type="dxa"/>
          <w:left w:w="15" w:type="dxa"/>
          <w:bottom w:w="15" w:type="dxa"/>
          <w:right w:w="15" w:type="dxa"/>
        </w:tblCellMar>
        <w:tblLook w:val="04A0" w:firstRow="1" w:lastRow="0" w:firstColumn="1" w:lastColumn="0" w:noHBand="0" w:noVBand="1"/>
      </w:tblPr>
      <w:tblGrid>
        <w:gridCol w:w="9687"/>
        <w:gridCol w:w="45"/>
      </w:tblGrid>
      <w:tr w:rsidR="0099617F" w:rsidRPr="0099617F" w:rsidTr="0099617F">
        <w:trPr>
          <w:gridAfter w:val="1"/>
          <w:tblCellSpacing w:w="15" w:type="dxa"/>
        </w:trPr>
        <w:tc>
          <w:tcPr>
            <w:tcW w:w="9630" w:type="dxa"/>
            <w:vAlign w:val="center"/>
            <w:hideMark/>
          </w:tcPr>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20"/>
              <w:gridCol w:w="270"/>
              <w:gridCol w:w="1836"/>
              <w:gridCol w:w="270"/>
              <w:gridCol w:w="992"/>
              <w:gridCol w:w="270"/>
              <w:gridCol w:w="808"/>
            </w:tblGrid>
            <w:tr w:rsidR="0099617F" w:rsidRPr="0099617F" w:rsidTr="0099617F">
              <w:trPr>
                <w:tblCellSpacing w:w="15" w:type="dxa"/>
                <w:jc w:val="center"/>
              </w:trPr>
              <w:tc>
                <w:tcPr>
                  <w:tcW w:w="0" w:type="auto"/>
                  <w:vAlign w:val="center"/>
                  <w:hideMark/>
                </w:tcPr>
                <w:p w:rsidR="0099617F" w:rsidRPr="0099617F" w:rsidRDefault="0099617F" w:rsidP="0099617F">
                  <w:pPr>
                    <w:spacing w:after="0" w:line="240" w:lineRule="auto"/>
                    <w:jc w:val="center"/>
                    <w:rPr>
                      <w:rFonts w:ascii="Times New Roman" w:eastAsia="Times New Roman" w:hAnsi="Times New Roman" w:cs="Times New Roman"/>
                      <w:b/>
                      <w:bCs/>
                      <w:sz w:val="24"/>
                      <w:szCs w:val="24"/>
                      <w:lang w:eastAsia="ru-RU"/>
                    </w:rPr>
                  </w:pPr>
                  <w:hyperlink r:id="rId4" w:history="1">
                    <w:r w:rsidRPr="0099617F">
                      <w:rPr>
                        <w:rFonts w:ascii="Times New Roman" w:eastAsia="Times New Roman" w:hAnsi="Times New Roman" w:cs="Times New Roman"/>
                        <w:b/>
                        <w:bCs/>
                        <w:color w:val="025391"/>
                        <w:sz w:val="24"/>
                        <w:szCs w:val="24"/>
                        <w:lang w:eastAsia="ru-RU"/>
                      </w:rPr>
                      <w:t>&lt; Пред</w:t>
                    </w:r>
                  </w:hyperlink>
                </w:p>
              </w:tc>
              <w:tc>
                <w:tcPr>
                  <w:tcW w:w="240" w:type="dxa"/>
                  <w:vAlign w:val="center"/>
                  <w:hideMark/>
                </w:tcPr>
                <w:p w:rsidR="0099617F" w:rsidRPr="0099617F" w:rsidRDefault="0099617F" w:rsidP="0099617F">
                  <w:pPr>
                    <w:spacing w:after="0" w:line="240" w:lineRule="auto"/>
                    <w:rPr>
                      <w:rFonts w:ascii="Times New Roman" w:eastAsia="Times New Roman" w:hAnsi="Times New Roman" w:cs="Times New Roman"/>
                      <w:sz w:val="24"/>
                      <w:szCs w:val="24"/>
                      <w:lang w:eastAsia="ru-RU"/>
                    </w:rPr>
                  </w:pPr>
                  <w:r w:rsidRPr="0099617F">
                    <w:rPr>
                      <w:rFonts w:ascii="Times New Roman" w:eastAsia="Times New Roman" w:hAnsi="Times New Roman" w:cs="Times New Roman"/>
                      <w:sz w:val="24"/>
                      <w:szCs w:val="24"/>
                      <w:lang w:eastAsia="ru-RU"/>
                    </w:rPr>
                    <w:t> </w:t>
                  </w:r>
                </w:p>
              </w:tc>
              <w:tc>
                <w:tcPr>
                  <w:tcW w:w="0" w:type="auto"/>
                  <w:vAlign w:val="center"/>
                  <w:hideMark/>
                </w:tcPr>
                <w:p w:rsidR="0099617F" w:rsidRPr="0099617F" w:rsidRDefault="0099617F" w:rsidP="0099617F">
                  <w:pPr>
                    <w:spacing w:after="0" w:line="240" w:lineRule="auto"/>
                    <w:jc w:val="center"/>
                    <w:rPr>
                      <w:rFonts w:ascii="Times New Roman" w:eastAsia="Times New Roman" w:hAnsi="Times New Roman" w:cs="Times New Roman"/>
                      <w:b/>
                      <w:bCs/>
                      <w:sz w:val="24"/>
                      <w:szCs w:val="24"/>
                      <w:lang w:eastAsia="ru-RU"/>
                    </w:rPr>
                  </w:pPr>
                  <w:hyperlink r:id="rId5" w:history="1">
                    <w:r w:rsidRPr="0099617F">
                      <w:rPr>
                        <w:rFonts w:ascii="Times New Roman" w:eastAsia="Times New Roman" w:hAnsi="Times New Roman" w:cs="Times New Roman"/>
                        <w:b/>
                        <w:bCs/>
                        <w:color w:val="025391"/>
                        <w:sz w:val="24"/>
                        <w:szCs w:val="24"/>
                        <w:lang w:eastAsia="ru-RU"/>
                      </w:rPr>
                      <w:t>СОДЕРЖАНИЕ</w:t>
                    </w:r>
                  </w:hyperlink>
                </w:p>
              </w:tc>
              <w:tc>
                <w:tcPr>
                  <w:tcW w:w="240" w:type="dxa"/>
                  <w:vAlign w:val="center"/>
                  <w:hideMark/>
                </w:tcPr>
                <w:p w:rsidR="0099617F" w:rsidRPr="0099617F" w:rsidRDefault="0099617F" w:rsidP="0099617F">
                  <w:pPr>
                    <w:spacing w:after="0" w:line="240" w:lineRule="auto"/>
                    <w:rPr>
                      <w:rFonts w:ascii="Times New Roman" w:eastAsia="Times New Roman" w:hAnsi="Times New Roman" w:cs="Times New Roman"/>
                      <w:sz w:val="24"/>
                      <w:szCs w:val="24"/>
                      <w:lang w:eastAsia="ru-RU"/>
                    </w:rPr>
                  </w:pPr>
                  <w:r w:rsidRPr="0099617F">
                    <w:rPr>
                      <w:rFonts w:ascii="Times New Roman" w:eastAsia="Times New Roman" w:hAnsi="Times New Roman" w:cs="Times New Roman"/>
                      <w:sz w:val="24"/>
                      <w:szCs w:val="24"/>
                      <w:lang w:eastAsia="ru-RU"/>
                    </w:rPr>
                    <w:t> </w:t>
                  </w:r>
                </w:p>
              </w:tc>
              <w:tc>
                <w:tcPr>
                  <w:tcW w:w="0" w:type="auto"/>
                  <w:vAlign w:val="center"/>
                  <w:hideMark/>
                </w:tcPr>
                <w:p w:rsidR="0099617F" w:rsidRPr="0099617F" w:rsidRDefault="0099617F" w:rsidP="0099617F">
                  <w:pPr>
                    <w:spacing w:after="0" w:line="240" w:lineRule="auto"/>
                    <w:jc w:val="center"/>
                    <w:rPr>
                      <w:rFonts w:ascii="Times New Roman" w:eastAsia="Times New Roman" w:hAnsi="Times New Roman" w:cs="Times New Roman"/>
                      <w:b/>
                      <w:bCs/>
                      <w:sz w:val="24"/>
                      <w:szCs w:val="24"/>
                      <w:lang w:eastAsia="ru-RU"/>
                    </w:rPr>
                  </w:pPr>
                  <w:hyperlink r:id="rId6" w:history="1">
                    <w:r w:rsidRPr="0099617F">
                      <w:rPr>
                        <w:rFonts w:ascii="Times New Roman" w:eastAsia="Times New Roman" w:hAnsi="Times New Roman" w:cs="Times New Roman"/>
                        <w:b/>
                        <w:bCs/>
                        <w:color w:val="1FA2D6"/>
                        <w:sz w:val="24"/>
                        <w:szCs w:val="24"/>
                        <w:lang w:eastAsia="ru-RU"/>
                      </w:rPr>
                      <w:t>Скачать</w:t>
                    </w:r>
                  </w:hyperlink>
                </w:p>
              </w:tc>
              <w:tc>
                <w:tcPr>
                  <w:tcW w:w="240" w:type="dxa"/>
                  <w:vAlign w:val="center"/>
                  <w:hideMark/>
                </w:tcPr>
                <w:p w:rsidR="0099617F" w:rsidRPr="0099617F" w:rsidRDefault="0099617F" w:rsidP="0099617F">
                  <w:pPr>
                    <w:spacing w:after="0" w:line="240" w:lineRule="auto"/>
                    <w:rPr>
                      <w:rFonts w:ascii="Times New Roman" w:eastAsia="Times New Roman" w:hAnsi="Times New Roman" w:cs="Times New Roman"/>
                      <w:sz w:val="24"/>
                      <w:szCs w:val="24"/>
                      <w:lang w:eastAsia="ru-RU"/>
                    </w:rPr>
                  </w:pPr>
                  <w:r w:rsidRPr="0099617F">
                    <w:rPr>
                      <w:rFonts w:ascii="Times New Roman" w:eastAsia="Times New Roman" w:hAnsi="Times New Roman" w:cs="Times New Roman"/>
                      <w:sz w:val="24"/>
                      <w:szCs w:val="24"/>
                      <w:lang w:eastAsia="ru-RU"/>
                    </w:rPr>
                    <w:t> </w:t>
                  </w:r>
                </w:p>
              </w:tc>
              <w:tc>
                <w:tcPr>
                  <w:tcW w:w="0" w:type="auto"/>
                  <w:vAlign w:val="center"/>
                  <w:hideMark/>
                </w:tcPr>
                <w:p w:rsidR="0099617F" w:rsidRPr="0099617F" w:rsidRDefault="0099617F" w:rsidP="0099617F">
                  <w:pPr>
                    <w:spacing w:after="0" w:line="240" w:lineRule="auto"/>
                    <w:jc w:val="center"/>
                    <w:rPr>
                      <w:rFonts w:ascii="Times New Roman" w:eastAsia="Times New Roman" w:hAnsi="Times New Roman" w:cs="Times New Roman"/>
                      <w:b/>
                      <w:bCs/>
                      <w:sz w:val="24"/>
                      <w:szCs w:val="24"/>
                      <w:lang w:eastAsia="ru-RU"/>
                    </w:rPr>
                  </w:pPr>
                  <w:hyperlink r:id="rId7" w:history="1">
                    <w:r w:rsidRPr="0099617F">
                      <w:rPr>
                        <w:rFonts w:ascii="Times New Roman" w:eastAsia="Times New Roman" w:hAnsi="Times New Roman" w:cs="Times New Roman"/>
                        <w:b/>
                        <w:bCs/>
                        <w:color w:val="025391"/>
                        <w:sz w:val="24"/>
                        <w:szCs w:val="24"/>
                        <w:lang w:eastAsia="ru-RU"/>
                      </w:rPr>
                      <w:t>След &gt;</w:t>
                    </w:r>
                  </w:hyperlink>
                </w:p>
              </w:tc>
            </w:tr>
          </w:tbl>
          <w:p w:rsidR="0099617F" w:rsidRPr="0099617F" w:rsidRDefault="0099617F" w:rsidP="0099617F">
            <w:pPr>
              <w:spacing w:after="0" w:line="240" w:lineRule="auto"/>
              <w:rPr>
                <w:rFonts w:ascii="Arial" w:eastAsia="Times New Roman" w:hAnsi="Arial" w:cs="Arial"/>
                <w:color w:val="646464"/>
                <w:sz w:val="23"/>
                <w:szCs w:val="23"/>
                <w:lang w:eastAsia="ru-RU"/>
              </w:rPr>
            </w:pPr>
          </w:p>
        </w:tc>
      </w:tr>
      <w:tr w:rsidR="0099617F" w:rsidRPr="0099617F" w:rsidTr="0099617F">
        <w:trPr>
          <w:tblCellSpacing w:w="15" w:type="dxa"/>
        </w:trPr>
        <w:tc>
          <w:tcPr>
            <w:tcW w:w="0" w:type="auto"/>
            <w:gridSpan w:val="2"/>
            <w:hideMark/>
          </w:tcPr>
          <w:p w:rsidR="0099617F" w:rsidRPr="0099617F" w:rsidRDefault="0099617F" w:rsidP="0099617F">
            <w:pPr>
              <w:spacing w:before="100" w:beforeAutospacing="1" w:after="100" w:afterAutospacing="1" w:line="240" w:lineRule="auto"/>
              <w:outlineLvl w:val="0"/>
              <w:rPr>
                <w:rFonts w:ascii="Arial" w:eastAsia="Times New Roman" w:hAnsi="Arial" w:cs="Arial"/>
                <w:color w:val="646464"/>
                <w:kern w:val="36"/>
                <w:sz w:val="48"/>
                <w:szCs w:val="48"/>
                <w:lang w:eastAsia="ru-RU"/>
              </w:rPr>
            </w:pPr>
            <w:r w:rsidRPr="0099617F">
              <w:rPr>
                <w:rFonts w:ascii="Arial" w:eastAsia="Times New Roman" w:hAnsi="Arial" w:cs="Arial"/>
                <w:color w:val="646464"/>
                <w:kern w:val="36"/>
                <w:sz w:val="48"/>
                <w:szCs w:val="48"/>
                <w:lang w:eastAsia="ru-RU"/>
              </w:rPr>
              <w:t>Развитие регистрационно-правовых, фискальных и многоцелевых систем управлени</w:t>
            </w:r>
            <w:bookmarkStart w:id="0" w:name="_GoBack"/>
            <w:bookmarkEnd w:id="0"/>
            <w:r w:rsidRPr="0099617F">
              <w:rPr>
                <w:rFonts w:ascii="Arial" w:eastAsia="Times New Roman" w:hAnsi="Arial" w:cs="Arial"/>
                <w:color w:val="646464"/>
                <w:kern w:val="36"/>
                <w:sz w:val="48"/>
                <w:szCs w:val="48"/>
                <w:lang w:eastAsia="ru-RU"/>
              </w:rPr>
              <w:t>я земельными ресурсами за рубежом</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Поводом для создания системы налогообложения недвижимости в большинстве стран послужила неравномерность распределения налогов при переходе от подушного налогообложения к подоходному. В основе таких систем, называемых кадастром, лежали оценки, основанные либо на стоимости, либо на доходности недвижимости.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Упоминания о первых подобных оценках относятся к 18 веку - оценка в Миланском герцогстве (1718-1759) и в Тироле (1771-1784). Причем следует отметить, что основные принципы оценки, примененные в 18 веке, сохранились в основных чертах и в 19 веке, когда кадастровые работы приняли массовый характер. Наиболее известны по своим описаниям и результатам кадастры Франции, Австрии, Саксонии, Виртемберга, Пруссии.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Кадастр Франции начинает свою историю в 1790 году, когда Национальное собрание издало закон о налоге на недвижимое имущество, который основывался на чистом доходе от земли и построек.</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При оценке земли под доходом понималась арендная плата, определяемая в зависимости от урожайности и издержек производства сельскохозяйственной продукции. Для разработки кадастра все земли были разделены на отдельные участки - парцеллы (parcelles), отличающиеся видом выращиваемой культуры или правом собственности. После описания каждого участка, в ходе которого необходимо было точно измерить и зафиксировать его размеры и местоположение, специальная комиссия приступала к оценке. Сущность оценки заключалась в том, что определялся чистый доход участка с последующей проверкой полученного результата данными о величинах существующих арендных плат и продаж, а непосредственными исполнителями являлись общественные комиссии, состоящие из представителей общин, владеющих разными типами недвижимости.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Вследствие большого количества необходимой информации, отсутствия достаточного количества специалистов по проведению подобных работ, создание кадастра во Франции продолжалось почти 50 лет. За это время потеряли свою актуальность и потребовали пересмотра результаты, полученные в начале работы. Поэтому в 1850 году был принят закон о пересмотре результатов, полученных более 30 лет назад. Полностью эта работа была окончена в 1854 году, который и считается годом окончания всех оценочных работ.</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К одной из главных причин столь долгого выполнения кадастра следует отнести отсутствие правительственного финансирования оценочных работ и отсутствие четкой идеологии и плана реализации системы оценки для налогообложения недвижимости. Если первоначально предполагалось определять средние урожайности участков в данной местности, то затем верх получило мнение о необходимости оценки земли каждого индивидуального владельца и даже его отдельных парцелл. Именно это и привело к неоправданному возрастанию объема работы и породило злоупотребления и неравномерность обложения налогом.</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Для городской недвижимости были выполнены оценочные работы только в нескольких городах разных департаментов. Полученную величину дохода делили на число жителей и получали среднюю величину доходности на одного жителя. Для оценки в остальных городах полученные среднедушевые величины доходности умножали на количество жителей и получали доходность всего городского недвижимого имущества. Прибавляя доходность городской недвижимости к доходности земли получали общую доходность всей недвижимости департамента.</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Кадастр Австрии, в отличие от парцеллярного французского, по типу относился к реальному, потому что в основе оценки лежала продажная цена. Разница между ними была в ударении - во французском кадастре определялась доходность одной парцеллы и полученный результат проверялся данными о ценах продажи, а в австрийском кадастре находилась цена продажи, но при этом учитывалась и доходность земли, определяемая путем оценки специальными комиссиями.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Начало работ по созданию кадастра относится к 1817 году, когда был издан закон о "постоянном кадастре", предполагающий подробную триангуляционную съемку и оценку всех видов недвижимого имущества. Руководство всеми работами возложили на Комиссию при министерстве финансов. В 1825 году была издана инструкция, определявшая порядок действий вертикальной структуры представителей комиссии на местах. Нижним звеном структуры являлись комиссары, в задачу которых входил сбор сведений о способах ведения хозяйства, поголовье скота и площадях, занятых различными культурами и т.д. Совместно с представителями общин комиссары проводили классификацию земли по урожайности на основании обычных приемов ведения сельского хозяйства. Далее рассчитывались издержки производства и определялся чистый доход для единицы площади разных земель. Полученные данные собирались инспекторами, проверялись и отправлялись в Центральную комиссию. В 1836 году эта работа была закончена, а в 1849 году принят закон о налогообложении земли в размере 16% чистого дохода.</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Однако резкие изменения цен на продукцию сельского хозяйства в различных местностях привели к несоответствию арендных платежей результатам оценки и, соответственно, к неравномерности налогообложения. Комиссия при министерстве финансов начала рассматривать вариант использования в качестве базы для налогообложения ценность имущества. При этом комиссия под ценностью определяла капитализированную доходность, которая может отличаться от продажной цены. Применяя капитализированную доходность можно было несколько снизить неравномерность налогообложения. После долгого обсуждения комиссия доложила императору о том, что она не смогла придти к единому мнению относительно базы для налогообложения.</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Новый закон об оценке 1869 года несколько оживил работы по регулированию неравномерности налогообложения. В качестве стабилизирующего фактора было принято положение о том, что доходность определяется на основе цен на продукцию не за последний год перед оценкой, а за последние 15 лет. Только к 1883 работы по созданию кадастра были завершены, а их общая продолжительность составила 65 лет.</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Кадастр Саксонии был разработан за 8 лет начиная с 1835 года, когда был издан закон об оценке земель. Работа начиналась с определения границ участков судебными органами. Затем землемеры проводили подробную съемку и передавали материал специальным комиссиям, которые и выполняли оценку. Принципиальным отличием от австрийского и французского кадастров было то, что правительство заранее установило классификацию земли по доходности (например, 33 класса пахотной земли, 11 классов и 8 подклассов лугов, и т. п.), а цены всех продуктов выражались по отношению к стоимости ржи, так как было установлено, что рожь является повсеместным продуктом, а цены на другие продукты сельского хозяйства изменяются пропорционально изменения цен на рожь.</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При такой постановке вопроса комиссиям не надо было собирать сведения об экономических характеристиках производства. Единственной их задачей было отнесение конкретных участков в соответствии с имеющимся набором признаков к тому или иному классу.</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Кадастр Пруссии разрабатывался 6 лет начиная с 1861 года, не смотря на то, что площадь Пруссии в 25 раз больше площади Саксонии. Одной из основных задач прусского кадастра было выполнение его в максимально короткие сроки, так как в течение 12-15 лет ситуация полностью меняется, начиная от персонала оценщиков и заканчивая условиями производства продукции.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Быстрому созданию кадастра способствовало то, что землемерные работы не выполнялись, а в качестве топоосновы брались данные старого межевания и определения границ отдельных имений. При этом все земли классифицировались на 7 типов, каждый из которых включал не более 8 классов по качеству. Выборочной проверке подверглись только 15% всех площадей.</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Созданная вертикальная структура из окружных комиссий и окружных комиссаров представляла в Центральную комиссию данные о доходности земли, основанной на ценах сельскохозяйственной продукции за период с 1837 по 1860 годы, а жесткие сроки кадастра потребовали привлечь к оценочным работам более 7000 человек, из которые 3000 проверяли землемерные измерения, а остальные занимались непосредственно оценочной работой.</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Кадастр Виртемберга, считающийся лучшим в Западной Европе, начал создаваться с 1820 года, когда для целей наполнения казны королевства было решено провести переоценку недвижимости. Землемерные работы закончились в 1840 году, а в 1873 году принимается новый закон об оценке земель строений и промыслов.</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Характерной особенностью этого кадастра являлось то, что в его основе лежал главный принцип - налог должен взыскиваться с дохода, а не с имущества. Не менее важным являлось также создание особой оценочной организации при министерстве финансов из особых лиц, не занимающихся другой деятельностью в налоговых или иных органах. Была разработана единая методика, по который работали на местах комиссии, состоящие из представителей центра и местных органов. Порядок оценки предполагал оценку доходности земель различного типа на базе цен сельхозпродукции за последние 15 лет.</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Леса оценивались по стоимости древесного запаса разных пород при обоснованном периоде рубки. Для получения чистого дохода, из годового дохода по ценам 1855-1869 годов вычитались расходы на содержание леса.</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Интересным выводом виртембергского кадастра, который стремился найти чистую доходность недвижимости, является то, что при изменяющейся рыночной конъюктуре главную роль играет не количество продукта, а цена на него. Именно поэтому кадастровый метод для налогообложения не будет успевать за изменением рыночной ситуации, явно проигрывая гибкому и динамичному подоходному налогообложению.</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Прямую противоположность французскому кадастру представлял метод оценки земли в Англии. В соответствии с законодательством основой оценки являлись арендные договоры, которые могли корректироваться в любое время. Именно из-за простоты применяемого подхода, основанного на удобстве расчетов, в Англии была возможность проводить оценку земли ежегодно.</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Способ оценки земли в США был аналогичен английскому, с той лишь разницей, что вследствие неразвитости рынка аренды в качестве основы для оценки использовали цены покупки земли. Несмотря на то, что цены покупок зависят от многих факторов, часто не имеющих непосредственного отношения к земле, этому способу оценки отдавали предпочтение по сравнению со сложными расчетными по определению доходности.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Главным достоинством системы, практикуемой в Англии и США, являлась ее подвижность, позволяющая оперативно реагировать на изменения ценности и доходности земли.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Опыт формирования земельного кадастра в России.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Первые карты российской территории были составлены иностранцами в 16-17 веках, и одной из первых была карта Мюнстера, выпущенная в Базеле в 1550 году. В конце 17 века в Амстердаме выходят карты России, изданные для Петра 1 и вероятно по его заказу. Во времена Петра 1 появилась и первая печатная карта на русском языке (1714). Начиная с 1826 года, под руководством Генерального штаба начались работы по триангуляционной съемке территории России, которые были завершены к 1834 году. Вместе с триангуляцилнной съемкой и составлением подробных топографических документов в России существовала и другая система измерения территории. На основании указа 1765 года производилось межевание, которое имело две формы: генеральное и специальное.</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Под генеральным межеванием понималось обязательное размежевывание всех владений какой-либо области на дачи генерального межевания. При этом дачей генерального межевания называлась территория вокруг данного селения, исторически используемая его жителями. Генеральная межа обозначалась канавами, просеками, курганами и знаменитыми межевыми столбами с надписью "Будь каждый при своем". Все, что находилось внутри генеральной межи считалось принадлежностью всех жителей данного селения. Специальное межевание подразумевало разделение генеральной дачи на отдельные участки и владения.</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Результаты межевания, которое продолжалось в течение 1765-1855 годов, записывались в поземельных книгах. С отменой крепостного права в 1861 году должна была измениться и система налогообложения. Личная подушная подать, характерная для крепостного права, уже не могла решать проблемы местного бюджета в условиях становления системы самоуправления.</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Для пополнения государственного бюджета сохранена была подушная система налогообложения, а для формирования земского бюджета предметами налогообложения становились "земли, фабрики, заводы, промышленные и торговые заведения и вообще недвижимые имущества в уездах и городах, а также свидетельства на право торговли". Размер налогообложения определялся "доходностью и ценностью облагаемых имуществ". Необходимость определения базы налогообложения для недвижимого имущества стала поводом для организации соответствующих мероприятий по изучению свойств недвижимости разных типов.</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Показатели доходности пахотных и сенокосных земель определялись на основе средней величины урожая и с учетом распространенной тогда формы ведения земледелия - испольщины, когда земля сдавалась в аренду за часть урожая. Леса оценивались по годовому доходу от рубки, огороды и поля, занятые техническими культурами - по специальным методикам. Статистический метод для вывода средних норм доходности дал результат, достаточный для обоснованного налогообложения. В Нижегородской губернии особенностью статистических исследований для целей оценки земли являлось то, что в их основе лежали естественно-исторические исследования почв, которые были выполнены основоположником русского почвоведения - В.В.Докучаевым. В 1979 году В.В. Докучаев издает первую почвенную карту Европейской России, в течение 5 лет исследует характеристики залегания русского чернозема и затем вместе с учениками (в число которых входил известный впоследствии почвовед Сибирцев) издает почвенное описание Нижегородской губернии в 15 томах. Классификация почв, предложенная Докучаевым опиралась на физико-механические и химические показатели, что и позволило сформировать основы новой науки.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Если в Черниговской губернии данные по урожайности получали путем расспроса владельцев, то в Нижегородской губернии эти же данные получили на основе исследования почв, выполненных В.В. Докучаевым и его учениками. Доходность земли в Нижегородской губернии определялась с учетом традиционного способа земледелия - обработки земли крестьянами своими силами, поэтому в основе доходности лежали выручка и издержки на производство продукции. В Нижегородской губернии впервые также выполнены работы по регистрации землевладений с учетом почвенных условий каждого.</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Краткая характеристика современного ГЗК Российской Федерации.</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ГЗК России, особенности, структура, содержание. ГЗК России - </w:t>
            </w:r>
            <w:r w:rsidRPr="0099617F">
              <w:rPr>
                <w:rFonts w:ascii="Arial" w:eastAsia="Times New Roman" w:hAnsi="Arial" w:cs="Arial"/>
                <w:i/>
                <w:iCs/>
                <w:color w:val="646464"/>
                <w:sz w:val="23"/>
                <w:szCs w:val="23"/>
                <w:lang w:eastAsia="ru-RU"/>
              </w:rPr>
              <w:t>систематизированный</w:t>
            </w:r>
            <w:r w:rsidRPr="0099617F">
              <w:rPr>
                <w:rFonts w:ascii="Arial" w:eastAsia="Times New Roman" w:hAnsi="Arial" w:cs="Arial"/>
                <w:color w:val="646464"/>
                <w:sz w:val="23"/>
                <w:szCs w:val="23"/>
                <w:lang w:eastAsia="ru-RU"/>
              </w:rPr>
              <w:t> свод документированных сведений, получаемых в результате проведения государственного кадастрового учета З.У., о местоположении, целевом назначении и правовом положении земель РФ и сведений о территориальных зонах и наличии расположенных на З.У. и прочно связанных с ними объектов /9/.</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ГЗК РФ создается и ведется в целях информационного обеспечения:</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государственного и муниципального управления З.Р.;</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государственного контроля за использованием и охраной земель;</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мероприятий по сохранению и повышению плодородия земель;</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государственной регистрации прав на недвижимое имущество и сделок с ним;</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Таблица 7. - Характеристика основных параметров ГЗК стран с рыночной экономикой</w:t>
            </w:r>
          </w:p>
          <w:p w:rsidR="0099617F" w:rsidRPr="0099617F" w:rsidRDefault="0099617F" w:rsidP="0099617F">
            <w:pPr>
              <w:spacing w:after="0" w:line="240" w:lineRule="auto"/>
              <w:rPr>
                <w:rFonts w:ascii="Arial" w:eastAsia="Times New Roman" w:hAnsi="Arial" w:cs="Arial"/>
                <w:color w:val="646464"/>
                <w:sz w:val="23"/>
                <w:szCs w:val="23"/>
                <w:lang w:eastAsia="ru-RU"/>
              </w:rPr>
            </w:pPr>
            <w:r w:rsidRPr="0099617F">
              <w:rPr>
                <w:rFonts w:ascii="Arial" w:eastAsia="Times New Roman" w:hAnsi="Arial" w:cs="Arial"/>
                <w:noProof/>
                <w:color w:val="646464"/>
                <w:sz w:val="23"/>
                <w:szCs w:val="23"/>
                <w:lang w:eastAsia="ru-RU"/>
              </w:rPr>
              <w:drawing>
                <wp:inline distT="0" distB="0" distL="0" distR="0" wp14:anchorId="2F43FC92" wp14:editId="46AD443A">
                  <wp:extent cx="3307080" cy="2828925"/>
                  <wp:effectExtent l="0" t="0" r="7620" b="9525"/>
                  <wp:docPr id="1" name="Рисунок 1" descr="https://studbooks.net/imag_/19/5072/image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books.net/imag_/19/5072/image01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07080" cy="2828925"/>
                          </a:xfrm>
                          <a:prstGeom prst="rect">
                            <a:avLst/>
                          </a:prstGeom>
                          <a:noFill/>
                          <a:ln>
                            <a:noFill/>
                          </a:ln>
                        </pic:spPr>
                      </pic:pic>
                    </a:graphicData>
                  </a:graphic>
                </wp:inline>
              </w:drawing>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землеустройства;</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экономической оценки земель и учета стоимости земли в составе природных ресурсов;</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установления платы за землю;</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иной деятельности, связанной с владением, пользованием и распоряжением З.У.</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Создание базы данных ГЗК. На основе представляемых земельными комитетами материалов ведется ежегодный анализ и внесение в базу данных сведений о наличии, распределении, использовании и состоянии земель в областях и районах.</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Государственная кадастровая оценка земель. Земельная политика в области оценки земли направлена на установление единого порядка проведения территориального оценочного зонирования с целью определения нормативной цены земли, для исчисления земельного налога и иных земельных платежей, а также определения выкупной цены З.У., передаваемых гражданам и юридическим лицам на платной основе. Разрабатываются методы проведения оценки рыночной стоимости земли, а также методики массовой кадастровой оценки земель различных категорий для целей налогообложения.</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Ведутся работы по созданию механизмов установления нормативов компенсационных платежей за ограничения на использование земель различных категорий, а также при обременении прав собственника правами других лиц. Ежегодно готовится статистический отчет "арендная плата и цена земельных участков".</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Экономическая эффективность создания ГЗК - расчеты показали, что ГЗК России является эффективной и самоокупаемой системой, к рпимеру создание автоматизированной ГЗК в Екатеринбургской области обеспечило доход больше в 8 раз, чем затраты на ее создание (затраты на ГЗК - 17,5 млн. руб., прирост земельных платежей за 1997-2000 годы - 150,0 млн. руб. /9/.</w:t>
            </w:r>
          </w:p>
          <w:p w:rsidR="0099617F" w:rsidRPr="0099617F" w:rsidRDefault="0099617F" w:rsidP="0099617F">
            <w:pPr>
              <w:spacing w:before="100" w:beforeAutospacing="1" w:after="100" w:afterAutospacing="1" w:line="240" w:lineRule="auto"/>
              <w:rPr>
                <w:rFonts w:ascii="Arial" w:eastAsia="Times New Roman" w:hAnsi="Arial" w:cs="Arial"/>
                <w:color w:val="646464"/>
                <w:sz w:val="23"/>
                <w:szCs w:val="23"/>
                <w:lang w:eastAsia="ru-RU"/>
              </w:rPr>
            </w:pPr>
            <w:r w:rsidRPr="0099617F">
              <w:rPr>
                <w:rFonts w:ascii="Arial" w:eastAsia="Times New Roman" w:hAnsi="Arial" w:cs="Arial"/>
                <w:color w:val="646464"/>
                <w:sz w:val="23"/>
                <w:szCs w:val="23"/>
                <w:lang w:eastAsia="ru-RU"/>
              </w:rPr>
              <w:t>Как показало изучение, наиболее развитые земельно-кадастровые системы сложились в настоящее время в таких странах как США, Германия, Италия, Франция, где основной тенденцией является формирование </w:t>
            </w:r>
            <w:r w:rsidRPr="0099617F">
              <w:rPr>
                <w:rFonts w:ascii="Arial" w:eastAsia="Times New Roman" w:hAnsi="Arial" w:cs="Arial"/>
                <w:i/>
                <w:iCs/>
                <w:color w:val="646464"/>
                <w:sz w:val="23"/>
                <w:szCs w:val="23"/>
                <w:lang w:eastAsia="ru-RU"/>
              </w:rPr>
              <w:t>многоцелевого автоматизированного информационного земельного кадастра с базой данных, включающей цифровые кадастровые карты/6/</w:t>
            </w:r>
            <w:r w:rsidRPr="0099617F">
              <w:rPr>
                <w:rFonts w:ascii="Arial" w:eastAsia="Times New Roman" w:hAnsi="Arial" w:cs="Arial"/>
                <w:color w:val="646464"/>
                <w:sz w:val="23"/>
                <w:szCs w:val="23"/>
                <w:lang w:eastAsia="ru-RU"/>
              </w:rPr>
              <w:t>. Системы земельного кадастра других стран или близки к ним (Австрия, Швейцария, Бельгия, страны Северной Европы, Венгрия, Болгария) или же не являются многоцелевыми. Обобщение опыта этих стран вместе с обобщением опыта формирования ГЗК в РФ и Казахстане за период реформы земельных отношений, позволяет обосновать предложения по развитию системы ГЗК в Казахстане.</w:t>
            </w:r>
          </w:p>
        </w:tc>
      </w:tr>
    </w:tbl>
    <w:p w:rsidR="00936F9A" w:rsidRDefault="00936F9A"/>
    <w:sectPr w:rsidR="00936F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33D"/>
    <w:rsid w:val="00936F9A"/>
    <w:rsid w:val="0099617F"/>
    <w:rsid w:val="00D153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7D4801-8B7D-4FFF-818E-CA6C3BBC0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6804687">
      <w:bodyDiv w:val="1"/>
      <w:marLeft w:val="0"/>
      <w:marRight w:val="0"/>
      <w:marTop w:val="0"/>
      <w:marBottom w:val="0"/>
      <w:divBdr>
        <w:top w:val="none" w:sz="0" w:space="0" w:color="auto"/>
        <w:left w:val="none" w:sz="0" w:space="0" w:color="auto"/>
        <w:bottom w:val="none" w:sz="0" w:space="0" w:color="auto"/>
        <w:right w:val="none" w:sz="0" w:space="0" w:color="auto"/>
      </w:divBdr>
      <w:divsChild>
        <w:div w:id="10964406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s://studbooks.net/500568/pravo/formirovanie_sovremennoy_sistemy_upravleniya_zemelnymi_resursami_kazahstan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tudbooks.net/500560/pravo/avtomatizirovannaya_informatsionnaya_sistema_zemelnogo_kadastra" TargetMode="External"/><Relationship Id="rId5" Type="http://schemas.openxmlformats.org/officeDocument/2006/relationships/hyperlink" Target="https://studbooks.net/500560/pravo/avtomatizirovannaya_informatsionnaya_sistema_zemelnogo_kadastra" TargetMode="External"/><Relationship Id="rId10" Type="http://schemas.openxmlformats.org/officeDocument/2006/relationships/theme" Target="theme/theme1.xml"/><Relationship Id="rId4" Type="http://schemas.openxmlformats.org/officeDocument/2006/relationships/hyperlink" Target="https://studbooks.net/500566/pravo/avtomatizatsiya_zemelno_kadastrovyh_rabot_raznogo_urovnya"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2697</Words>
  <Characters>15374</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2</cp:revision>
  <dcterms:created xsi:type="dcterms:W3CDTF">2021-04-08T05:09:00Z</dcterms:created>
  <dcterms:modified xsi:type="dcterms:W3CDTF">2021-04-08T05:09:00Z</dcterms:modified>
</cp:coreProperties>
</file>